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hint="default"/>
          <w:b/>
          <w:bCs/>
          <w:lang w:val="pt-PT"/>
        </w:rPr>
      </w:pPr>
      <w:r>
        <w:rPr>
          <w:rFonts w:hint="default"/>
          <w:b/>
          <w:bCs/>
          <w:lang w:val="pt-PT"/>
        </w:rPr>
        <w:t xml:space="preserve">Anexo IV - Requisitos de Migração </w:t>
      </w:r>
      <w:r>
        <w:rPr>
          <w:rFonts w:hint="default"/>
          <w:b/>
          <w:bCs/>
          <w:lang w:val="pt-PT"/>
        </w:rPr>
      </w:r>
    </w:p>
    <w:p>
      <w:pPr>
        <w:pBdr/>
        <w:spacing/>
        <w:ind/>
        <w:rPr>
          <w:rFonts w:hint="default"/>
          <w:b/>
          <w:bCs/>
          <w:lang w:val="pt-PT"/>
        </w:rPr>
      </w:pPr>
      <w:r>
        <w:rPr>
          <w:rFonts w:hint="default"/>
          <w:b/>
          <w:bCs/>
          <w:lang w:val="pt-PT"/>
        </w:rPr>
        <w:t xml:space="preserve">Mensagem Telefônica - Susep</w:t>
      </w:r>
      <w:r>
        <w:rPr>
          <w:rFonts w:hint="default"/>
          <w:b/>
          <w:bCs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Seguem os pontos sobre as alternativas para uma eventual migração da Telefonica para um novo fornecedor. Lembrando que a abordagem é uma migração de forma não intrusiva à camada </w:t>
      </w:r>
      <w:r>
        <w:rPr>
          <w:rFonts w:hint="default"/>
          <w:b w:val="0"/>
          <w:bCs w:val="0"/>
          <w:lang w:val="pt-PT"/>
        </w:rPr>
        <w:t xml:space="preserve">de virtualização da Telefonica. Esse tipo de acesso não é fornecido por normas de Segurança, sendo assim a opção mais viável é o Zerto, pois possibilita a clonagem das máquinas de forma segura e rápida. A segunda alternativa é o uso de ferramentas de P2V q</w:t>
      </w:r>
      <w:r>
        <w:rPr>
          <w:rFonts w:hint="default"/>
          <w:b w:val="0"/>
          <w:bCs w:val="0"/>
          <w:lang w:val="pt-PT"/>
        </w:rPr>
        <w:t xml:space="preserve">ue independem do hypervisor em uso, fazendo um clone da VM a partir do sistema operacional. A terceira e última opção seria o HCX OSAM, no entanto este último possui algumas restrições e um setup relativamente complexo e que no final é praticamente um P2V.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Em todos os cenários o novo fornecedor/parceiro deve possuir o licen</w:t>
      </w:r>
      <w:r>
        <w:rPr>
          <w:rFonts w:hint="default"/>
          <w:b w:val="0"/>
          <w:bCs w:val="0"/>
          <w:lang w:val="pt-PT"/>
        </w:rPr>
        <w:t xml:space="preserve">ciamento e o skill para realizar a migração e do lado da Telefonica apoiamos nessas opções apenas no que envolver o ambiente/infra Telefonica. Todo licenciamento necessário e custos com ferramentas, links, etc.. devem ser de responsabilidade do fornecedor.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Opção 1 (recomendada) Replicação de VMs através do Zerto: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Ferramenta padrão de migração e DR do VCP pois permite replicação das VMs diretamente na camada virtual de forma pouco intrusiva e multi-tenancy;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Já disponível para uso da SUSEP;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Suporta VMware Cloud Director, VMware vSphere, Hyper-V, Azure, AWS;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Conseguimos estender o link do cliente até as máquinas virtuais, facilitando a migração em ondas mantendo a comunicação entre as VMs;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Possibilidade de testes isolados sem impactar a produção (útil para validação antes da janela de virada, otimizando tempo);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Baixo RPO/RTO (facilitando a migração, testes e rollback).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Requisitos: Licenciamento (o destinatário deverá ressarcir à Telefônica Brasil pelo uso da licença na origem e destino, devido à restrição de uso na federação);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Link de comunicação L2 ou L3.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Opção 2 P2V (cópia da VM a partir do sistema operacional):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Ferramenta de P2V para migração a partir do sistema operacional da VM (VMware Converter, PlateSpin, Hyper-V P2V, etc..);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Não requer acesso a camada de virtualização ou deployment de ferramentas;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Possibilita migração em ondas e sincronização de cópia/delta.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Requisitos: Licenciamento da ferramenta escolhida, caso possua (fornecedor/parceiro deve possuir esse licenciamento);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Link de comunicação L2 ou L3.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Opção 3 VMware HCX OS Assisted Migration: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Trabalha como um P2V automatizado;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Suporte somente a VMware no destino;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Não requer acesso a camada de virtualização;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Possibilidade de extensão de rede entre os ambientes.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Requisitos: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Licenciamento da ferramenta (fornecedor/parceiro deve possuir esse licenciamento);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Link de comunicação L2 ou L3;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Deve-se utilizar o deployment como Single HCX Site Installation OS Assisted Migration Non vSphere Workloads;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Deployment dos appliances para estabelecer conexão ao HCX devem ser feitos dentro do Tenant da SUSEP.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O cliente possui algumas aplicações que por melhores práticas não é recomendável as abordagens acima.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Cluster SQL Server: SUSEP possui cluster SQL Server com disco compartilhado, a clo</w:t>
      </w:r>
      <w:r>
        <w:rPr>
          <w:rFonts w:hint="default"/>
          <w:b w:val="0"/>
          <w:bCs w:val="0"/>
          <w:lang w:val="pt-PT"/>
        </w:rPr>
        <w:t xml:space="preserve">nagem das VMs em qualquer cenário acima irá gerar uma instalação Standalone no destino, sendo necessário a reconstrução do cluster, a recomendação nesse caso seria a replicação através do próprio SQL Server e/ou migração dos dados (dump do banco e import);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- Active Directory: Por recomendação da Microsoft, a migração de AD deve ser feita através das features do próprio AD (deployment de um secundário, replicação e promoção).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/>
          <w:bCs/>
          <w:lang w:val="pt-PT"/>
        </w:rPr>
        <w:t xml:space="preserve">CUSTOS MIGRAÇÃO: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Cenário 1: Migração Zerto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Para configuração do pareamento Zerto entre o novo proved</w:t>
      </w:r>
      <w:r>
        <w:rPr>
          <w:rFonts w:hint="default"/>
          <w:b w:val="0"/>
          <w:bCs w:val="0"/>
          <w:lang w:val="pt-PT"/>
        </w:rPr>
        <w:t xml:space="preserve">or e o VCP, consideramos 20 horas de um profissional sênior de virtualização, 40 horas de um profissional pleno de redes/segurança e 20 horas de Lider Técnico contemplando planejamento e configuração da conectividade do VCP do cliente com o novo prestador.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Importante c</w:t>
      </w:r>
      <w:r>
        <w:rPr>
          <w:rFonts w:hint="default"/>
          <w:b w:val="0"/>
          <w:bCs w:val="0"/>
          <w:lang w:val="pt-PT"/>
        </w:rPr>
        <w:t xml:space="preserve">onsiderar que o esforço dimensionado é apenas para ativação do Zerto e pareamento do ambiente, toda a configuração de replicação, VPGs, testes, migração, etc.. Deve ser feito pelo novo prestador. O acesso ao Zerto será disponibilizado no portal do cliente.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O licenciamento do Zerto está incluso para uma migração de até 90 dias, após o prazo, deverá ser licenciado por dia de utilização adicional.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Estimativa de custos: R$ 70.000,00 com mão de obra e licenciamento fornecidos pela Telefonica.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/>
      <w:bookmarkStart w:id="0" w:name="_GoBack"/>
      <w:r/>
      <w:bookmarkEnd w:id="0"/>
      <w:r/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Cenário 2: Migração VMConverter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Para configuração e utilização do VMConververter, considerarmos 6 horas de um profissional sênior de virtualização para configurar a nova re</w:t>
      </w:r>
      <w:r>
        <w:rPr>
          <w:rFonts w:hint="default"/>
          <w:b w:val="0"/>
          <w:bCs w:val="0"/>
          <w:lang w:val="pt-PT"/>
        </w:rPr>
        <w:t xml:space="preserve">de no portal do cliente. Tratando-se de VMware Converter, o novo prestador precisará apenas de acesso ao sistema operacional da VM com privilégios administrativos, 20 horas do time de SO para disponibilizar credenciais em cada VM para configurar a replicaç</w:t>
      </w:r>
      <w:r>
        <w:rPr>
          <w:rFonts w:hint="default"/>
          <w:b w:val="0"/>
          <w:bCs w:val="0"/>
          <w:lang w:val="pt-PT"/>
        </w:rPr>
        <w:t xml:space="preserve">ão , 40 horas de um profissional pleno de redes/segurança para ativação de link, criação de vlan, configuração de túnel VPN, etc.. e 30 horas de Lider Técnico contemplando planejamento e configuração da conectividade do VCP do cliente com o novo prestador.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Estimativa de custos: R$ 70.000,00 com mão de obra fornecidos pela Telefonica.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/>
          <w:bCs/>
          <w:lang w:val="pt-PT"/>
        </w:rPr>
      </w:pPr>
      <w:r>
        <w:rPr>
          <w:rFonts w:hint="default"/>
          <w:b/>
          <w:bCs/>
          <w:lang w:val="pt-PT"/>
        </w:rPr>
        <w:t xml:space="preserve">CONECTIVIDADE:</w:t>
      </w:r>
      <w:r>
        <w:rPr>
          <w:rFonts w:hint="default"/>
          <w:b/>
          <w:bCs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 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Utiliz</w:t>
      </w:r>
      <w:r>
        <w:rPr>
          <w:rFonts w:hint="default"/>
          <w:b w:val="0"/>
          <w:bCs w:val="0"/>
          <w:lang w:val="pt-PT"/>
        </w:rPr>
        <w:t xml:space="preserve">aremos a infraestrutura em alta disponibilidade hoje já existente para o ambiente VCP/infra Telefonica, com isso por favor considerar apenas 1x Golden Jumper do router da operadora, que fornecerá o link de migração, para os switches que integram com o VCP.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  <w:shd w:val="clear" w:color="auto" w:fill="ffffff"/>
        </w:rPr>
        <w:t xml:space="preserve"> </w:t>
      </w:r>
      <w:r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Hoje temos 1x MPLS e 1x saída de internet dedicada para comunicação com a SUSEP e deverá ser considerada a contratação desses serviços no novo fornecedor/parceir</w:t>
      </w:r>
      <w:r>
        <w:rPr>
          <w:rFonts w:hint="default"/>
          <w:b w:val="0"/>
          <w:bCs w:val="0"/>
          <w:lang w:val="pt-PT"/>
        </w:rPr>
        <w:t xml:space="preserve">o para conectividade com a SUSEP. O link de migração será usado apenas para prover conectividade entre o ambiente VCP/infra Telefonica e o destino da migração, não poderemos usar essa conectividade para a conexão entre a SUSEP e o novo fornecedor/parceiro.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rFonts w:hint="default"/>
          <w:b/>
          <w:bCs/>
          <w:lang w:val="pt-PT"/>
        </w:rPr>
      </w:pPr>
      <w:r>
        <w:rPr>
          <w:rFonts w:hint="default"/>
          <w:b/>
          <w:bCs/>
          <w:lang w:val="pt-PT"/>
        </w:rPr>
        <w:t xml:space="preserve">FIREWALL:</w:t>
      </w:r>
      <w:r>
        <w:rPr>
          <w:rFonts w:hint="default"/>
          <w:b/>
          <w:bCs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a) modelo utilizado: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* FortiGate 100E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b) quantidade individual de VPNs "Site to Site" e "Client to Site":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* 9 tuneis de VPN S2S;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* 1 VPN SSL na vdom FE-SUSEP, e 1 VPN SSL na vdom SUSEP-MFA.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c) tipo de VPN usada: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* IPSEC para S2S, e SSL para client.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d) quantidades de features ativadas: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269865" cy="2301875"/>
                <wp:effectExtent l="0" t="0" r="6985" b="3175"/>
                <wp:docPr id="1" name="Imagem 1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image00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269865" cy="2301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14.95pt;height:181.25pt;mso-wrap-distance-left:0.00pt;mso-wrap-distance-top:0.00pt;mso-wrap-distance-right:0.00pt;mso-wrap-distance-bottom:0.00pt;z-index:1;" stroked="false">
                <v:imagedata r:id="rId8" o:title=""/>
                <o:lock v:ext="edit" rotation="t"/>
              </v:shape>
            </w:pict>
          </mc:Fallback>
        </mc:AlternateConten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e) licenças ativadas: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261610" cy="1226185"/>
                <wp:effectExtent l="0" t="0" r="15240" b="12065"/>
                <wp:docPr id="2" name="Imagem 2" descr="image0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2" descr="image00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261610" cy="1226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414.30pt;height:96.55pt;mso-wrap-distance-left:0.00pt;mso-wrap-distance-top:0.00pt;mso-wrap-distance-right:0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f) Web Application Firewall (WAF):</w:t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</w:r>
      <w:r>
        <w:rPr>
          <w:rFonts w:hint="default"/>
          <w:b w:val="0"/>
          <w:bCs w:val="0"/>
          <w:lang w:val="pt-PT"/>
        </w:rPr>
      </w:r>
    </w:p>
    <w:p>
      <w:pPr>
        <w:pBdr/>
        <w:spacing/>
        <w:ind/>
        <w:rPr>
          <w:rFonts w:hint="default"/>
          <w:b w:val="0"/>
          <w:bCs w:val="0"/>
          <w:lang w:val="pt-PT"/>
        </w:rPr>
      </w:pPr>
      <w:r>
        <w:rPr>
          <w:rFonts w:hint="default"/>
          <w:b w:val="0"/>
          <w:bCs w:val="0"/>
          <w:lang w:val="pt-PT"/>
        </w:rPr>
        <w:t xml:space="preserve">não disponível</w:t>
      </w:r>
      <w:r>
        <w:rPr>
          <w:rFonts w:hint="default"/>
          <w:b w:val="0"/>
          <w:bCs w:val="0"/>
          <w:lang w:val="pt-PT"/>
        </w:rPr>
      </w:r>
    </w:p>
    <w:sectPr>
      <w:footnotePr/>
      <w:endnotePr/>
      <w:type w:val="nextPage"/>
      <w:pgSz w:h="16838" w:orient="portrait" w:w="11906"/>
      <w:pgMar w:top="1440" w:right="1800" w:bottom="1440" w:left="1800" w:header="851" w:footer="992" w:gutter="0"/>
      <w:cols w:num="1" w:sep="0" w:space="425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宋体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4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doNotExpandShiftReturn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宋体" w:cs="Times New Roma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30"/>
    <w:next w:val="63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30"/>
    <w:next w:val="63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30"/>
    <w:next w:val="63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30"/>
    <w:next w:val="63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30"/>
    <w:next w:val="63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30"/>
    <w:next w:val="63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30"/>
    <w:next w:val="63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30"/>
    <w:next w:val="63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30"/>
    <w:next w:val="63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63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3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3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3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3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3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3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3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3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30"/>
    <w:next w:val="63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31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30"/>
    <w:next w:val="63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3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30"/>
    <w:next w:val="63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3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30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3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30"/>
    <w:next w:val="63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3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3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3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3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3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3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3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3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3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31"/>
    <w:link w:val="175"/>
    <w:uiPriority w:val="99"/>
    <w:pPr>
      <w:pBdr/>
      <w:spacing/>
      <w:ind/>
    </w:pPr>
  </w:style>
  <w:style w:type="paragraph" w:styleId="177">
    <w:name w:val="Footer"/>
    <w:basedOn w:val="63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31"/>
    <w:link w:val="177"/>
    <w:uiPriority w:val="99"/>
    <w:pPr>
      <w:pBdr/>
      <w:spacing/>
      <w:ind/>
    </w:pPr>
  </w:style>
  <w:style w:type="paragraph" w:styleId="179">
    <w:name w:val="Caption"/>
    <w:basedOn w:val="630"/>
    <w:next w:val="63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3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3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3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3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3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31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3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3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30"/>
    <w:next w:val="630"/>
    <w:uiPriority w:val="99"/>
    <w:unhideWhenUsed/>
    <w:pPr>
      <w:pBdr/>
      <w:spacing w:after="0" w:afterAutospacing="0"/>
      <w:ind/>
    </w:pPr>
  </w:style>
  <w:style w:type="paragraph" w:styleId="630" w:default="1">
    <w:name w:val="Normal"/>
    <w:uiPriority w:val="0"/>
    <w:qFormat/>
    <w:pPr>
      <w:widowControl w:val="false"/>
      <w:pBdr/>
      <w:spacing/>
      <w:ind/>
      <w:jc w:val="both"/>
    </w:pPr>
    <w:rPr>
      <w:rFonts w:asciiTheme="minorHAnsi" w:hAnsiTheme="minorHAnsi" w:eastAsiaTheme="minorEastAsia" w:cstheme="minorBidi"/>
      <w:sz w:val="21"/>
      <w:szCs w:val="24"/>
      <w:lang w:val="en-US" w:eastAsia="zh-CN" w:bidi="ar-SA"/>
    </w:rPr>
  </w:style>
  <w:style w:type="character" w:styleId="631" w:default="1">
    <w:name w:val="Default Paragraph Font"/>
    <w:uiPriority w:val="0"/>
    <w:semiHidden/>
    <w:qFormat/>
    <w:pPr>
      <w:pBdr/>
      <w:spacing/>
      <w:ind/>
    </w:pPr>
  </w:style>
  <w:style w:type="table" w:styleId="632" w:default="1">
    <w:name w:val="Normal Table"/>
    <w:uiPriority w:val="0"/>
    <w:semiHidden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33">
    <w:name w:val="Normal (Web)"/>
    <w:basedOn w:val="630"/>
    <w:uiPriority w:val="0"/>
    <w:qFormat/>
    <w:pPr>
      <w:pBdr/>
      <w:spacing/>
      <w:ind/>
    </w:pPr>
    <w:rPr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LinksUpToDate>false</LinksUpToDate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revision>2</cp:revision>
  <dcterms:created xsi:type="dcterms:W3CDTF">2018-07-10T04:11:00Z</dcterms:created>
  <dcterms:modified xsi:type="dcterms:W3CDTF">2024-09-23T19:43:57Z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1046-11.1.0.11719</vt:lpwstr>
  </property>
</Properties>
</file>